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DD" w:rsidRPr="00AB77DD" w:rsidRDefault="00194C63" w:rsidP="00AB77DD">
      <w:pPr>
        <w:ind w:left="11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B77D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B77DD" w:rsidRPr="00AB77DD" w:rsidRDefault="00194C63" w:rsidP="00AB77DD">
      <w:pPr>
        <w:ind w:left="11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B77DD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  <w:r w:rsidR="00AB77DD" w:rsidRPr="00AB77DD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AB77DD">
        <w:rPr>
          <w:rFonts w:ascii="Times New Roman" w:hAnsi="Times New Roman" w:cs="Times New Roman"/>
          <w:sz w:val="24"/>
          <w:szCs w:val="24"/>
        </w:rPr>
        <w:t>Алтуфьевский</w:t>
      </w:r>
      <w:r w:rsidR="001A2A32" w:rsidRPr="00AB77DD">
        <w:rPr>
          <w:rFonts w:ascii="Times New Roman" w:hAnsi="Times New Roman" w:cs="Times New Roman"/>
          <w:sz w:val="24"/>
          <w:szCs w:val="24"/>
        </w:rPr>
        <w:t xml:space="preserve"> в городе Москве </w:t>
      </w:r>
    </w:p>
    <w:p w:rsidR="00194C63" w:rsidRPr="00AB77DD" w:rsidRDefault="00194C63" w:rsidP="00AB77DD">
      <w:pPr>
        <w:ind w:left="113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B77DD">
        <w:rPr>
          <w:rFonts w:ascii="Times New Roman" w:hAnsi="Times New Roman" w:cs="Times New Roman"/>
          <w:sz w:val="24"/>
          <w:szCs w:val="24"/>
        </w:rPr>
        <w:t xml:space="preserve">от </w:t>
      </w:r>
      <w:r w:rsidR="00BC0AB3" w:rsidRPr="00AB77DD">
        <w:rPr>
          <w:rFonts w:ascii="Times New Roman" w:hAnsi="Times New Roman" w:cs="Times New Roman"/>
          <w:sz w:val="24"/>
          <w:szCs w:val="24"/>
        </w:rPr>
        <w:t>08</w:t>
      </w:r>
      <w:r w:rsidRPr="00AB77DD">
        <w:rPr>
          <w:rFonts w:ascii="Times New Roman" w:hAnsi="Times New Roman" w:cs="Times New Roman"/>
          <w:sz w:val="24"/>
          <w:szCs w:val="24"/>
        </w:rPr>
        <w:t>.</w:t>
      </w:r>
      <w:r w:rsidR="009300D4" w:rsidRPr="00AB77DD">
        <w:rPr>
          <w:rFonts w:ascii="Times New Roman" w:hAnsi="Times New Roman" w:cs="Times New Roman"/>
          <w:sz w:val="24"/>
          <w:szCs w:val="24"/>
        </w:rPr>
        <w:t>1</w:t>
      </w:r>
      <w:r w:rsidR="00C8414C" w:rsidRPr="00AB77DD">
        <w:rPr>
          <w:rFonts w:ascii="Times New Roman" w:hAnsi="Times New Roman" w:cs="Times New Roman"/>
          <w:sz w:val="24"/>
          <w:szCs w:val="24"/>
        </w:rPr>
        <w:t>2</w:t>
      </w:r>
      <w:r w:rsidRPr="00AB77DD">
        <w:rPr>
          <w:rFonts w:ascii="Times New Roman" w:hAnsi="Times New Roman" w:cs="Times New Roman"/>
          <w:sz w:val="24"/>
          <w:szCs w:val="24"/>
        </w:rPr>
        <w:t>.20</w:t>
      </w:r>
      <w:r w:rsidR="009B71FB" w:rsidRPr="00AB77DD">
        <w:rPr>
          <w:rFonts w:ascii="Times New Roman" w:hAnsi="Times New Roman" w:cs="Times New Roman"/>
          <w:sz w:val="24"/>
          <w:szCs w:val="24"/>
        </w:rPr>
        <w:t>2</w:t>
      </w:r>
      <w:r w:rsidR="00BC0AB3" w:rsidRPr="00AB77DD">
        <w:rPr>
          <w:rFonts w:ascii="Times New Roman" w:hAnsi="Times New Roman" w:cs="Times New Roman"/>
          <w:sz w:val="24"/>
          <w:szCs w:val="24"/>
        </w:rPr>
        <w:t>5</w:t>
      </w:r>
      <w:r w:rsidRPr="00AB77DD">
        <w:rPr>
          <w:rFonts w:ascii="Times New Roman" w:hAnsi="Times New Roman" w:cs="Times New Roman"/>
          <w:sz w:val="24"/>
          <w:szCs w:val="24"/>
        </w:rPr>
        <w:t xml:space="preserve"> г. № 02-01-0</w:t>
      </w:r>
      <w:r w:rsidR="0011410D" w:rsidRPr="00AB77DD">
        <w:rPr>
          <w:rFonts w:ascii="Times New Roman" w:hAnsi="Times New Roman" w:cs="Times New Roman"/>
          <w:sz w:val="24"/>
          <w:szCs w:val="24"/>
        </w:rPr>
        <w:t>4</w:t>
      </w:r>
      <w:r w:rsidRPr="00AB77DD">
        <w:rPr>
          <w:rFonts w:ascii="Times New Roman" w:hAnsi="Times New Roman" w:cs="Times New Roman"/>
          <w:sz w:val="24"/>
          <w:szCs w:val="24"/>
        </w:rPr>
        <w:t>/</w:t>
      </w:r>
      <w:r w:rsidR="00101A59" w:rsidRPr="00AB77DD">
        <w:rPr>
          <w:rFonts w:ascii="Times New Roman" w:hAnsi="Times New Roman" w:cs="Times New Roman"/>
          <w:sz w:val="24"/>
          <w:szCs w:val="24"/>
        </w:rPr>
        <w:t>3</w:t>
      </w:r>
      <w:r w:rsidR="009B3475" w:rsidRPr="00AB77DD">
        <w:rPr>
          <w:rFonts w:ascii="Times New Roman" w:hAnsi="Times New Roman" w:cs="Times New Roman"/>
          <w:sz w:val="24"/>
          <w:szCs w:val="24"/>
        </w:rPr>
        <w:t>6</w:t>
      </w:r>
    </w:p>
    <w:p w:rsidR="00AB77DD" w:rsidRDefault="00AB77DD" w:rsidP="00AB77DD">
      <w:pPr>
        <w:ind w:left="10206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C237F5" w:rsidRPr="00194C63" w:rsidRDefault="00C237F5" w:rsidP="00AB77DD">
      <w:pPr>
        <w:ind w:left="10206" w:firstLine="0"/>
        <w:jc w:val="left"/>
        <w:rPr>
          <w:rFonts w:ascii="Times New Roman" w:hAnsi="Times New Roman" w:cs="Times New Roman"/>
          <w:sz w:val="16"/>
          <w:szCs w:val="16"/>
        </w:rPr>
      </w:pPr>
      <w:r w:rsidRPr="006B5CBA">
        <w:rPr>
          <w:rFonts w:ascii="Times New Roman" w:hAnsi="Times New Roman" w:cs="Times New Roman"/>
          <w:sz w:val="16"/>
          <w:szCs w:val="16"/>
        </w:rPr>
        <w:t>Приложение</w:t>
      </w:r>
      <w:r w:rsidRPr="00194C63">
        <w:rPr>
          <w:rFonts w:ascii="Times New Roman" w:hAnsi="Times New Roman" w:cs="Times New Roman"/>
          <w:sz w:val="16"/>
          <w:szCs w:val="16"/>
        </w:rPr>
        <w:br/>
        <w:t>к Положению о порядке формирования,</w:t>
      </w:r>
      <w:r w:rsidR="00AB77DD">
        <w:rPr>
          <w:rFonts w:ascii="Times New Roman" w:hAnsi="Times New Roman" w:cs="Times New Roman"/>
          <w:sz w:val="16"/>
          <w:szCs w:val="16"/>
        </w:rPr>
        <w:t xml:space="preserve"> </w:t>
      </w:r>
      <w:r w:rsidRPr="00194C63">
        <w:rPr>
          <w:rFonts w:ascii="Times New Roman" w:hAnsi="Times New Roman" w:cs="Times New Roman"/>
          <w:sz w:val="16"/>
          <w:szCs w:val="16"/>
        </w:rPr>
        <w:t xml:space="preserve">утверждения планов-графиков закупок, </w:t>
      </w:r>
      <w:r w:rsidR="00AB77DD">
        <w:rPr>
          <w:rFonts w:ascii="Times New Roman" w:hAnsi="Times New Roman" w:cs="Times New Roman"/>
          <w:sz w:val="16"/>
          <w:szCs w:val="16"/>
        </w:rPr>
        <w:t>в</w:t>
      </w:r>
      <w:r w:rsidRPr="00194C63">
        <w:rPr>
          <w:rFonts w:ascii="Times New Roman" w:hAnsi="Times New Roman" w:cs="Times New Roman"/>
          <w:sz w:val="16"/>
          <w:szCs w:val="16"/>
        </w:rPr>
        <w:t>несения</w:t>
      </w:r>
      <w:r w:rsidR="00AB77DD">
        <w:rPr>
          <w:rFonts w:ascii="Times New Roman" w:hAnsi="Times New Roman" w:cs="Times New Roman"/>
          <w:sz w:val="16"/>
          <w:szCs w:val="16"/>
        </w:rPr>
        <w:t xml:space="preserve"> </w:t>
      </w:r>
      <w:r w:rsidRPr="00194C63">
        <w:rPr>
          <w:rFonts w:ascii="Times New Roman" w:hAnsi="Times New Roman" w:cs="Times New Roman"/>
          <w:sz w:val="16"/>
          <w:szCs w:val="16"/>
        </w:rPr>
        <w:t>изменений в такие планы-графики, размещения</w:t>
      </w:r>
      <w:r w:rsidR="00AB77DD">
        <w:rPr>
          <w:rFonts w:ascii="Times New Roman" w:hAnsi="Times New Roman" w:cs="Times New Roman"/>
          <w:sz w:val="16"/>
          <w:szCs w:val="16"/>
        </w:rPr>
        <w:t xml:space="preserve"> </w:t>
      </w:r>
      <w:r w:rsidRPr="00194C63">
        <w:rPr>
          <w:rFonts w:ascii="Times New Roman" w:hAnsi="Times New Roman" w:cs="Times New Roman"/>
          <w:sz w:val="16"/>
          <w:szCs w:val="16"/>
        </w:rPr>
        <w:t>планов-графиков закупок в единой</w:t>
      </w:r>
      <w:r w:rsidR="00AB77DD">
        <w:rPr>
          <w:rFonts w:ascii="Times New Roman" w:hAnsi="Times New Roman" w:cs="Times New Roman"/>
          <w:sz w:val="16"/>
          <w:szCs w:val="16"/>
        </w:rPr>
        <w:t xml:space="preserve"> </w:t>
      </w:r>
      <w:r w:rsidRPr="00194C63">
        <w:rPr>
          <w:rFonts w:ascii="Times New Roman" w:hAnsi="Times New Roman" w:cs="Times New Roman"/>
          <w:sz w:val="16"/>
          <w:szCs w:val="16"/>
        </w:rPr>
        <w:t>информационной системе в сфере закупок,</w:t>
      </w:r>
      <w:r w:rsidR="00AB77DD">
        <w:rPr>
          <w:rFonts w:ascii="Times New Roman" w:hAnsi="Times New Roman" w:cs="Times New Roman"/>
          <w:sz w:val="16"/>
          <w:szCs w:val="16"/>
        </w:rPr>
        <w:t xml:space="preserve"> </w:t>
      </w:r>
      <w:r w:rsidRPr="00194C63">
        <w:rPr>
          <w:rFonts w:ascii="Times New Roman" w:hAnsi="Times New Roman" w:cs="Times New Roman"/>
          <w:sz w:val="16"/>
          <w:szCs w:val="16"/>
        </w:rPr>
        <w:t>об особенностях включения информации</w:t>
      </w:r>
      <w:r w:rsidR="00AB77DD">
        <w:rPr>
          <w:rFonts w:ascii="Times New Roman" w:hAnsi="Times New Roman" w:cs="Times New Roman"/>
          <w:sz w:val="16"/>
          <w:szCs w:val="16"/>
        </w:rPr>
        <w:t xml:space="preserve"> </w:t>
      </w:r>
      <w:r w:rsidRPr="00194C63">
        <w:rPr>
          <w:rFonts w:ascii="Times New Roman" w:hAnsi="Times New Roman" w:cs="Times New Roman"/>
          <w:sz w:val="16"/>
          <w:szCs w:val="16"/>
        </w:rPr>
        <w:t>в такие</w:t>
      </w:r>
      <w:r w:rsidR="00AB77DD">
        <w:rPr>
          <w:rFonts w:ascii="Times New Roman" w:hAnsi="Times New Roman" w:cs="Times New Roman"/>
          <w:sz w:val="16"/>
          <w:szCs w:val="16"/>
        </w:rPr>
        <w:t xml:space="preserve"> </w:t>
      </w:r>
      <w:r w:rsidRPr="00194C63">
        <w:rPr>
          <w:rFonts w:ascii="Times New Roman" w:hAnsi="Times New Roman" w:cs="Times New Roman"/>
          <w:sz w:val="16"/>
          <w:szCs w:val="16"/>
        </w:rPr>
        <w:t>планы-графики и о требованиях к форме планов-графиков закупок</w:t>
      </w:r>
    </w:p>
    <w:p w:rsidR="00C237F5" w:rsidRPr="00CB4742" w:rsidRDefault="00C237F5" w:rsidP="00AB77DD">
      <w:pPr>
        <w:jc w:val="left"/>
        <w:rPr>
          <w:rFonts w:ascii="Times New Roman" w:hAnsi="Times New Roman" w:cs="Times New Roman"/>
        </w:rPr>
      </w:pPr>
    </w:p>
    <w:p w:rsidR="00C237F5" w:rsidRPr="00AB77DD" w:rsidRDefault="00C237F5" w:rsidP="00AB77D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7DD">
        <w:rPr>
          <w:rFonts w:ascii="Times New Roman" w:hAnsi="Times New Roman" w:cs="Times New Roman"/>
          <w:b/>
          <w:bCs/>
          <w:sz w:val="24"/>
          <w:szCs w:val="24"/>
        </w:rPr>
        <w:t>ПЛАН-ГРАФИК</w:t>
      </w:r>
      <w:r w:rsidRPr="00AB77DD">
        <w:rPr>
          <w:rFonts w:ascii="Times New Roman" w:hAnsi="Times New Roman" w:cs="Times New Roman"/>
          <w:b/>
          <w:bCs/>
          <w:sz w:val="24"/>
          <w:szCs w:val="24"/>
        </w:rPr>
        <w:br/>
        <w:t>закупок товаров, работ, услуг на 20</w:t>
      </w:r>
      <w:r w:rsidR="008148F2" w:rsidRPr="00AB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4767D" w:rsidRPr="00AB77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77DD">
        <w:rPr>
          <w:rFonts w:ascii="Times New Roman" w:hAnsi="Times New Roman" w:cs="Times New Roman"/>
          <w:b/>
          <w:bCs/>
          <w:sz w:val="24"/>
          <w:szCs w:val="24"/>
        </w:rPr>
        <w:t xml:space="preserve"> финансовый год и на плановый период 20</w:t>
      </w:r>
      <w:r w:rsidR="00874AD6" w:rsidRPr="00AB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4767D" w:rsidRPr="00AB77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B77DD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74AD6" w:rsidRPr="00AB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4767D" w:rsidRPr="00AB77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B77DD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C237F5" w:rsidRPr="00AB77DD" w:rsidRDefault="00C237F5" w:rsidP="00AB77D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7DD">
        <w:rPr>
          <w:rFonts w:ascii="Times New Roman" w:hAnsi="Times New Roman" w:cs="Times New Roman"/>
          <w:b/>
          <w:bCs/>
          <w:sz w:val="24"/>
          <w:szCs w:val="24"/>
        </w:rPr>
        <w:t>(в части закупок, предусмотренных пунктом 1 части 2 статьи 84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="008B53BE">
        <w:rPr>
          <w:rStyle w:val="aa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AB77D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C237F5" w:rsidP="00C237F5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1. Информация о заказчике: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9"/>
        <w:gridCol w:w="4212"/>
        <w:gridCol w:w="2311"/>
        <w:gridCol w:w="1496"/>
      </w:tblGrid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Коды</w:t>
            </w:r>
          </w:p>
        </w:tc>
      </w:tr>
      <w:tr w:rsidR="00C237F5" w:rsidRPr="00CB4742" w:rsidTr="00647538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7715048331</w:t>
            </w:r>
          </w:p>
        </w:tc>
      </w:tr>
      <w:tr w:rsidR="00C237F5" w:rsidRPr="00CB4742" w:rsidTr="00647538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округа Алтуфьевский</w:t>
            </w:r>
            <w:r w:rsidR="00250E64">
              <w:rPr>
                <w:rFonts w:ascii="Times New Roman" w:hAnsi="Times New Roman" w:cs="Times New Roman"/>
              </w:rPr>
              <w:t xml:space="preserve"> в городе Москве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771501001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75404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3D4A4B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127549, г. Москва, Алтуфьевское ш., д. 56А 8(499)901-26-85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altuf</w:t>
            </w:r>
            <w:proofErr w:type="spellEnd"/>
            <w:r w:rsidRPr="003D4A4B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3D4A4B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D4A4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45350000000</w:t>
            </w:r>
          </w:p>
        </w:tc>
      </w:tr>
      <w:tr w:rsidR="00C237F5" w:rsidRPr="00CB4742" w:rsidTr="00647538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 w:rsidR="00615E3C">
              <w:rPr>
                <w:rStyle w:val="aa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383</w:t>
            </w:r>
          </w:p>
        </w:tc>
      </w:tr>
    </w:tbl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AB77DD" w:rsidP="00444DC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C237F5" w:rsidRPr="00CB4742">
        <w:rPr>
          <w:rFonts w:ascii="Times New Roman" w:hAnsi="Times New Roman" w:cs="Times New Roman"/>
        </w:rPr>
        <w:lastRenderedPageBreak/>
        <w:t>2. Информация о закупках товаров, работ, услуг на 20</w:t>
      </w:r>
      <w:r w:rsidR="003D4A4B">
        <w:rPr>
          <w:rFonts w:ascii="Times New Roman" w:hAnsi="Times New Roman" w:cs="Times New Roman"/>
        </w:rPr>
        <w:t>2</w:t>
      </w:r>
      <w:r w:rsidR="0054767D">
        <w:rPr>
          <w:rFonts w:ascii="Times New Roman" w:hAnsi="Times New Roman" w:cs="Times New Roman"/>
        </w:rPr>
        <w:t>5</w:t>
      </w:r>
      <w:r w:rsidR="00C237F5" w:rsidRPr="00CB4742">
        <w:rPr>
          <w:rFonts w:ascii="Times New Roman" w:hAnsi="Times New Roman" w:cs="Times New Roman"/>
        </w:rPr>
        <w:t xml:space="preserve"> финансовый год и на плановый период 20</w:t>
      </w:r>
      <w:r w:rsidR="003D4A4B">
        <w:rPr>
          <w:rFonts w:ascii="Times New Roman" w:hAnsi="Times New Roman" w:cs="Times New Roman"/>
        </w:rPr>
        <w:t>2</w:t>
      </w:r>
      <w:r w:rsidR="0054767D">
        <w:rPr>
          <w:rFonts w:ascii="Times New Roman" w:hAnsi="Times New Roman" w:cs="Times New Roman"/>
        </w:rPr>
        <w:t>6</w:t>
      </w:r>
      <w:r w:rsidR="00C237F5" w:rsidRPr="00CB4742">
        <w:rPr>
          <w:rFonts w:ascii="Times New Roman" w:hAnsi="Times New Roman" w:cs="Times New Roman"/>
        </w:rPr>
        <w:t xml:space="preserve"> и 20</w:t>
      </w:r>
      <w:r w:rsidR="003D4A4B">
        <w:rPr>
          <w:rFonts w:ascii="Times New Roman" w:hAnsi="Times New Roman" w:cs="Times New Roman"/>
        </w:rPr>
        <w:t>2</w:t>
      </w:r>
      <w:r w:rsidR="0054767D">
        <w:rPr>
          <w:rFonts w:ascii="Times New Roman" w:hAnsi="Times New Roman" w:cs="Times New Roman"/>
        </w:rPr>
        <w:t>7</w:t>
      </w:r>
      <w:r w:rsidR="00C237F5" w:rsidRPr="00CB4742">
        <w:rPr>
          <w:rFonts w:ascii="Times New Roman" w:hAnsi="Times New Roman" w:cs="Times New Roman"/>
        </w:rPr>
        <w:t xml:space="preserve"> годов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tbl>
      <w:tblPr>
        <w:tblW w:w="16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31"/>
        <w:gridCol w:w="708"/>
        <w:gridCol w:w="1262"/>
        <w:gridCol w:w="1594"/>
        <w:gridCol w:w="1761"/>
        <w:gridCol w:w="1076"/>
        <w:gridCol w:w="992"/>
        <w:gridCol w:w="993"/>
        <w:gridCol w:w="992"/>
        <w:gridCol w:w="850"/>
        <w:gridCol w:w="1276"/>
        <w:gridCol w:w="1276"/>
        <w:gridCol w:w="1276"/>
      </w:tblGrid>
      <w:tr w:rsidR="001913C4" w:rsidRPr="005F3CE7" w:rsidTr="001913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913C4" w:rsidRDefault="001913C4" w:rsidP="001913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1913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1913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1913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1913C4" w:rsidRPr="005F3CE7" w:rsidRDefault="001913C4" w:rsidP="001913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5F3CE7" w:rsidRDefault="001913C4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Объект закупки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5F3CE7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Планируемый год размещения </w:t>
            </w:r>
            <w:proofErr w:type="spellStart"/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извеще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 об осуществлении закупки, направления приглашения принять участие в </w:t>
            </w:r>
            <w:proofErr w:type="spellStart"/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определе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нии</w:t>
            </w:r>
            <w:proofErr w:type="spellEnd"/>
            <w:r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5F3CE7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Наименование уполномоченного органа (учреждения)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организатора проведения совместного конкурса или аукциона</w:t>
            </w:r>
          </w:p>
        </w:tc>
      </w:tr>
      <w:tr w:rsidR="001913C4" w:rsidRPr="00AB77DD" w:rsidTr="001913C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913C4" w:rsidRPr="00AB77DD" w:rsidRDefault="001913C4" w:rsidP="001913C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AB77DD" w:rsidRDefault="001913C4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5F3CE7" w:rsidRDefault="001913C4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Default="001913C4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AB77DD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на текущий </w:t>
            </w:r>
            <w:proofErr w:type="spellStart"/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финансо</w:t>
            </w:r>
            <w:proofErr w:type="spellEnd"/>
            <w:r w:rsidR="008B53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вый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на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5F3CE7">
            <w:pPr>
              <w:pStyle w:val="a5"/>
              <w:ind w:left="-142" w:right="-213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Последую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щие</w:t>
            </w:r>
            <w:proofErr w:type="spellEnd"/>
            <w:r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1913C4" w:rsidRPr="00AB77DD" w:rsidRDefault="001913C4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1913C4" w:rsidRPr="00AB77DD" w:rsidRDefault="001913C4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913C4" w:rsidRPr="00AB77DD" w:rsidRDefault="001913C4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3C4" w:rsidRPr="00AB77DD" w:rsidTr="001913C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913C4" w:rsidRPr="00AB77DD" w:rsidRDefault="001913C4" w:rsidP="001913C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AB77DD" w:rsidRDefault="001913C4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Default="001913C4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3C4" w:rsidRPr="00AB77DD" w:rsidRDefault="001913C4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Default="001913C4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5F3CE7" w:rsidRDefault="001913C4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AB77DD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5F3CE7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5F3CE7" w:rsidRDefault="001913C4" w:rsidP="005F3CE7">
            <w:pPr>
              <w:pStyle w:val="a5"/>
              <w:ind w:left="-2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на первый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C4" w:rsidRPr="005F3CE7" w:rsidRDefault="001913C4" w:rsidP="0064753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на второй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AB77DD" w:rsidRDefault="001913C4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AB77DD" w:rsidRDefault="001913C4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913C4" w:rsidRPr="00AB77DD" w:rsidRDefault="001913C4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13C4" w:rsidRPr="00AB77DD" w:rsidRDefault="001913C4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F5" w:rsidRPr="00AB77DD" w:rsidTr="001913C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AB77DD" w:rsidRDefault="00C237F5" w:rsidP="001913C4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AB77DD" w:rsidRDefault="00C237F5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AB77DD" w:rsidRDefault="00C237F5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F3CE7" w:rsidRDefault="00C237F5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5F3CE7" w:rsidRDefault="00C237F5" w:rsidP="005F3CE7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AB77DD" w:rsidRDefault="00C237F5" w:rsidP="005F3CE7">
            <w:pPr>
              <w:pStyle w:val="a5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AB77DD" w:rsidRDefault="00C237F5" w:rsidP="005F3CE7">
            <w:pPr>
              <w:pStyle w:val="a5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AB77DD" w:rsidRDefault="00C237F5" w:rsidP="005F3CE7">
            <w:pPr>
              <w:pStyle w:val="a5"/>
              <w:ind w:left="-27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AB77DD" w:rsidRDefault="00C237F5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AB77DD" w:rsidRDefault="00C237F5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AB77DD" w:rsidRDefault="00C237F5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AB77DD" w:rsidRDefault="00C237F5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AB77DD" w:rsidRDefault="00C237F5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AB77DD" w:rsidRDefault="00C237F5" w:rsidP="0064753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B77D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31B47" w:rsidRPr="005F3CE7" w:rsidTr="001913C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DD42FA" w:rsidP="001913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704418" w:rsidP="00A9045F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color w:val="383838"/>
                <w:sz w:val="16"/>
                <w:szCs w:val="16"/>
                <w:shd w:val="clear" w:color="auto" w:fill="FFFFFF"/>
              </w:rPr>
              <w:t>202401733000022001000001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5F3CE7">
            <w:pPr>
              <w:pStyle w:val="a3"/>
              <w:ind w:left="-27" w:right="-7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93.29.29.000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5F3CE7">
            <w:pPr>
              <w:snapToGrid w:val="0"/>
              <w:ind w:left="-27" w:right="-76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Услуги объединений, создаваемых с целью проведения культурных и развлекательных мероприятий и организации досуга, кроме спорта или игр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1913C4">
            <w:pPr>
              <w:pStyle w:val="a3"/>
              <w:ind w:left="-27" w:right="-1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Оказание услуг по проведению местных праздничных мероприятий</w:t>
            </w:r>
            <w:r w:rsidR="00704418"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 для жителей </w:t>
            </w:r>
            <w:proofErr w:type="spellStart"/>
            <w:r w:rsidR="001913C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04418" w:rsidRPr="005F3CE7">
              <w:rPr>
                <w:rFonts w:ascii="Times New Roman" w:hAnsi="Times New Roman" w:cs="Times New Roman"/>
                <w:sz w:val="16"/>
                <w:szCs w:val="16"/>
              </w:rPr>
              <w:t>униципаль</w:t>
            </w:r>
            <w:proofErr w:type="spellEnd"/>
            <w:r w:rsidR="001913C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="00704418" w:rsidRPr="005F3CE7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="00704418"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 округа Алтуфьевский </w:t>
            </w:r>
            <w:r w:rsidR="00250E64"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в городе Москве </w:t>
            </w:r>
            <w:r w:rsidR="00704418" w:rsidRPr="005F3CE7">
              <w:rPr>
                <w:rFonts w:ascii="Times New Roman" w:hAnsi="Times New Roman" w:cs="Times New Roman"/>
                <w:sz w:val="16"/>
                <w:szCs w:val="16"/>
              </w:rPr>
              <w:t>и мероприятий, направленных на военно-</w:t>
            </w:r>
            <w:proofErr w:type="spellStart"/>
            <w:r w:rsidR="00704418" w:rsidRPr="005F3CE7">
              <w:rPr>
                <w:rFonts w:ascii="Times New Roman" w:hAnsi="Times New Roman" w:cs="Times New Roman"/>
                <w:sz w:val="16"/>
                <w:szCs w:val="16"/>
              </w:rPr>
              <w:t>патриоти</w:t>
            </w:r>
            <w:proofErr w:type="spellEnd"/>
            <w:r w:rsidR="001913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704418" w:rsidRPr="005F3CE7">
              <w:rPr>
                <w:rFonts w:ascii="Times New Roman" w:hAnsi="Times New Roman" w:cs="Times New Roman"/>
                <w:sz w:val="16"/>
                <w:szCs w:val="16"/>
              </w:rPr>
              <w:t>ческое</w:t>
            </w:r>
            <w:proofErr w:type="spellEnd"/>
            <w:r w:rsidR="00704418"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 воспитание молодежи</w:t>
            </w: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A9045F" w:rsidP="005F3CE7">
            <w:pPr>
              <w:pStyle w:val="a3"/>
              <w:ind w:left="-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54767D" w:rsidRPr="005F3CE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C26E82" w:rsidP="005F3CE7">
            <w:pPr>
              <w:pStyle w:val="a3"/>
              <w:ind w:left="-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2889300,00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C26E82" w:rsidP="005F3CE7">
            <w:pPr>
              <w:pStyle w:val="a3"/>
              <w:ind w:left="-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1215000,00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54767D" w:rsidP="005F3CE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1251000,00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54767D" w:rsidP="005F3CE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423300,00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5F3CE7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1B47" w:rsidRPr="005F3CE7" w:rsidTr="001913C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DD42FA" w:rsidP="001913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F0FEE" w:rsidP="00323029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color w:val="383838"/>
                <w:sz w:val="16"/>
                <w:szCs w:val="16"/>
                <w:shd w:val="clear" w:color="auto" w:fill="FFFFFF"/>
              </w:rPr>
              <w:t>202401733000022001000002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F0FEE" w:rsidP="005F3CE7">
            <w:pPr>
              <w:pStyle w:val="a3"/>
              <w:ind w:left="-27" w:right="-7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62.09.20.190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1B47" w:rsidRPr="005F3CE7" w:rsidRDefault="003F0FEE" w:rsidP="005F3CE7">
            <w:pPr>
              <w:pStyle w:val="a3"/>
              <w:ind w:left="-27" w:right="-7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5F5F5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F0FEE" w:rsidP="005F3CE7">
            <w:pPr>
              <w:pStyle w:val="a3"/>
              <w:ind w:left="-27" w:right="-7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Услуги по адаптации и сопровождению экземпляров Систем КонсультантПлюс, оказываемые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у заказчика </w:t>
            </w:r>
            <w:proofErr w:type="spellStart"/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экземпля</w:t>
            </w:r>
            <w:proofErr w:type="spellEnd"/>
            <w:r w:rsidR="001913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рами Систем КонсультантПлюс (в том числе </w:t>
            </w:r>
            <w:proofErr w:type="spellStart"/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специаль</w:t>
            </w:r>
            <w:proofErr w:type="spellEnd"/>
            <w:r w:rsidR="001913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ной копией Системы КонсультантПлюс)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250E64" w:rsidP="005F3CE7">
            <w:pPr>
              <w:pStyle w:val="a3"/>
              <w:ind w:left="-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C26E82" w:rsidP="005F3CE7">
            <w:pPr>
              <w:pStyle w:val="a3"/>
              <w:ind w:left="-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740751,28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C26E82" w:rsidP="005F3CE7">
            <w:pPr>
              <w:pStyle w:val="a3"/>
              <w:ind w:left="-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220751,28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C26E82" w:rsidP="005F3CE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270000,00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250E64" w:rsidP="005F3CE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F0FEE" w:rsidP="008B53B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F0FEE" w:rsidP="008B53B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F0FEE" w:rsidP="008B53B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5F3CE7" w:rsidRDefault="003F0FEE" w:rsidP="005F3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31B47" w:rsidRPr="005F3CE7" w:rsidTr="001913C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FC014F" w:rsidP="001913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5F3CE7">
            <w:pPr>
              <w:pStyle w:val="a3"/>
              <w:ind w:left="-27" w:right="-7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49.31.22.000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5F3CE7">
            <w:pPr>
              <w:pStyle w:val="a3"/>
              <w:ind w:left="-27" w:right="-7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Услуги по регулярным перевозкам пассажиров, используя более чем 1 вид транспорта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5F3CE7">
            <w:pPr>
              <w:pStyle w:val="a3"/>
              <w:ind w:left="-27" w:right="-7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Обеспечение бесплатного</w:t>
            </w:r>
            <w:r w:rsidR="00AB77DD"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проезда депутатов Совета депутатов МО Алтуфьевский</w:t>
            </w:r>
            <w:r w:rsidR="00250E64"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 в городе Москве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F32B9" w:rsidP="005F3CE7">
            <w:pPr>
              <w:pStyle w:val="a3"/>
              <w:ind w:left="-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50E64" w:rsidRPr="005F3C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C26E82" w:rsidP="005F3CE7">
            <w:pPr>
              <w:pStyle w:val="a3"/>
              <w:ind w:left="-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410000,00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C26E82" w:rsidP="005F3CE7">
            <w:pPr>
              <w:pStyle w:val="a3"/>
              <w:ind w:left="-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54767D" w:rsidP="005F3CE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205000,00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54767D" w:rsidP="005F3CE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205000,00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1913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1913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5F3CE7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31B47" w:rsidRPr="005F3CE7" w:rsidTr="001913C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C60191" w:rsidP="001913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53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AE2ED5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5F3CE7">
            <w:pPr>
              <w:pStyle w:val="a3"/>
              <w:ind w:left="-27" w:right="-7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5F3CE7">
            <w:pPr>
              <w:pStyle w:val="a3"/>
              <w:ind w:left="-27" w:right="-76"/>
              <w:jc w:val="left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5F5F5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5F3CE7">
            <w:pPr>
              <w:pStyle w:val="a3"/>
              <w:ind w:left="-27" w:right="-7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Закупки на основании п. 4 ч. 1 ст. 93 44-ФЗ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F32B9" w:rsidP="005F3CE7">
            <w:pPr>
              <w:pStyle w:val="a3"/>
              <w:ind w:left="-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50E64" w:rsidRPr="005F3C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C26E82" w:rsidP="005F3CE7">
            <w:pPr>
              <w:pStyle w:val="a3"/>
              <w:ind w:left="-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4469659,85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C26E82" w:rsidP="005F3CE7">
            <w:pPr>
              <w:pStyle w:val="a3"/>
              <w:ind w:left="-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1891059,85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250E64" w:rsidP="005F3CE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1289300,00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1A2A32" w:rsidP="005F3CE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1289300,00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1913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1913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5F3CE7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31B47" w:rsidRPr="005F3CE7" w:rsidTr="001913C4">
        <w:trPr>
          <w:jc w:val="center"/>
        </w:trPr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1913C4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Всего для осуществления закупок,</w:t>
            </w:r>
          </w:p>
          <w:p w:rsidR="00331B47" w:rsidRPr="005F3CE7" w:rsidRDefault="00331B47" w:rsidP="001913C4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в том числе по коду бюджетной классификации 900 0104 31Б0100100 244, 900 0104 31Б0100500 244, 900 0103 31А0100200 244</w:t>
            </w:r>
            <w:r w:rsidR="003C03A0"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05112" w:rsidRPr="005F3CE7">
              <w:rPr>
                <w:rFonts w:ascii="Times New Roman" w:hAnsi="Times New Roman" w:cs="Times New Roman"/>
                <w:sz w:val="16"/>
                <w:szCs w:val="16"/>
              </w:rPr>
              <w:t>0113 31Б0100400 853, 1202 35Е0100300 853, 1204 35Е0100300 244, 0705 31Б0100500 244, 0705 31Б0100100 244</w:t>
            </w: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</w:p>
          <w:p w:rsidR="00331B47" w:rsidRPr="005F3CE7" w:rsidRDefault="00331B47" w:rsidP="001913C4">
            <w:pPr>
              <w:pStyle w:val="a5"/>
              <w:ind w:left="-27" w:righ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по соглашению от _______ N _____ / по коду вида расходов ____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B17B91" w:rsidP="005F3CE7">
            <w:pPr>
              <w:pStyle w:val="a3"/>
              <w:ind w:left="-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8509711,13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B17B91" w:rsidP="005F3CE7">
            <w:pPr>
              <w:pStyle w:val="a3"/>
              <w:ind w:left="-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3326811,13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B17B91" w:rsidP="005F3CE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3015300,00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B17B91" w:rsidP="005F3CE7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2167600,00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1913C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1913C4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5F3CE7" w:rsidRDefault="00331B47" w:rsidP="00331B4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5F3CE7" w:rsidRDefault="00331B47" w:rsidP="00331B4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F3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237F5" w:rsidRPr="00CB4742" w:rsidRDefault="00C237F5" w:rsidP="00251261">
      <w:pPr>
        <w:pStyle w:val="OEM"/>
        <w:rPr>
          <w:rFonts w:ascii="Times New Roman" w:hAnsi="Times New Roman" w:cs="Times New Roman"/>
        </w:rPr>
      </w:pPr>
      <w:bookmarkStart w:id="0" w:name="_GoBack"/>
      <w:bookmarkEnd w:id="0"/>
    </w:p>
    <w:p w:rsidR="00D150AC" w:rsidRDefault="00D150AC"/>
    <w:sectPr w:rsidR="00D150AC" w:rsidSect="00AB77DD">
      <w:pgSz w:w="16838" w:h="11906" w:orient="landscape"/>
      <w:pgMar w:top="1135" w:right="536" w:bottom="1135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703" w:rsidRDefault="008F4703" w:rsidP="008B53BE">
      <w:r>
        <w:separator/>
      </w:r>
    </w:p>
  </w:endnote>
  <w:endnote w:type="continuationSeparator" w:id="0">
    <w:p w:rsidR="008F4703" w:rsidRDefault="008F4703" w:rsidP="008B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703" w:rsidRDefault="008F4703" w:rsidP="008B53BE">
      <w:r>
        <w:separator/>
      </w:r>
    </w:p>
  </w:footnote>
  <w:footnote w:type="continuationSeparator" w:id="0">
    <w:p w:rsidR="008F4703" w:rsidRDefault="008F4703" w:rsidP="008B53BE">
      <w:r>
        <w:continuationSeparator/>
      </w:r>
    </w:p>
  </w:footnote>
  <w:footnote w:id="1">
    <w:p w:rsidR="008B53BE" w:rsidRPr="00F24E38" w:rsidRDefault="008B53BE" w:rsidP="00F24E38">
      <w:pPr>
        <w:pStyle w:val="a4"/>
        <w:ind w:firstLine="0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CB4742">
        <w:rPr>
          <w:rFonts w:ascii="Times New Roman" w:hAnsi="Times New Roman" w:cs="Times New Roman"/>
        </w:rPr>
        <w:t>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</w:footnote>
  <w:footnote w:id="2">
    <w:p w:rsidR="00615E3C" w:rsidRPr="00CB4742" w:rsidRDefault="00615E3C" w:rsidP="00615E3C">
      <w:pPr>
        <w:pStyle w:val="a4"/>
        <w:ind w:firstLine="0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CB4742">
        <w:rPr>
          <w:rFonts w:ascii="Times New Roman" w:hAnsi="Times New Roman" w:cs="Times New Roman"/>
        </w:rPr>
        <w:t>Указывается в соответствии с подпунктом "ж" пункта 14 Положения.</w:t>
      </w:r>
    </w:p>
    <w:p w:rsidR="00615E3C" w:rsidRDefault="00615E3C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F5"/>
    <w:rsid w:val="00021D49"/>
    <w:rsid w:val="00061EBB"/>
    <w:rsid w:val="00101A59"/>
    <w:rsid w:val="0011410D"/>
    <w:rsid w:val="001913C4"/>
    <w:rsid w:val="00194C63"/>
    <w:rsid w:val="001A1F99"/>
    <w:rsid w:val="001A2A32"/>
    <w:rsid w:val="001C57C6"/>
    <w:rsid w:val="001D4016"/>
    <w:rsid w:val="00205112"/>
    <w:rsid w:val="00250E64"/>
    <w:rsid w:val="00251261"/>
    <w:rsid w:val="002E18B8"/>
    <w:rsid w:val="00323029"/>
    <w:rsid w:val="00331B47"/>
    <w:rsid w:val="00397C61"/>
    <w:rsid w:val="003B4512"/>
    <w:rsid w:val="003C03A0"/>
    <w:rsid w:val="003D38A7"/>
    <w:rsid w:val="003D4A4B"/>
    <w:rsid w:val="003E02D0"/>
    <w:rsid w:val="003E45E2"/>
    <w:rsid w:val="003F0FEE"/>
    <w:rsid w:val="003F32B9"/>
    <w:rsid w:val="004442A5"/>
    <w:rsid w:val="00444DC2"/>
    <w:rsid w:val="00494170"/>
    <w:rsid w:val="005029A2"/>
    <w:rsid w:val="0050416B"/>
    <w:rsid w:val="00515764"/>
    <w:rsid w:val="0054199A"/>
    <w:rsid w:val="0054767D"/>
    <w:rsid w:val="00575ABC"/>
    <w:rsid w:val="005A1E4F"/>
    <w:rsid w:val="005C10B8"/>
    <w:rsid w:val="005D7DB1"/>
    <w:rsid w:val="005F3CE7"/>
    <w:rsid w:val="005F4C41"/>
    <w:rsid w:val="005F58DB"/>
    <w:rsid w:val="005F7CD6"/>
    <w:rsid w:val="006056B7"/>
    <w:rsid w:val="00615E3C"/>
    <w:rsid w:val="00647103"/>
    <w:rsid w:val="006473D0"/>
    <w:rsid w:val="006B5CBA"/>
    <w:rsid w:val="006D4731"/>
    <w:rsid w:val="006F47BB"/>
    <w:rsid w:val="00704418"/>
    <w:rsid w:val="007303B2"/>
    <w:rsid w:val="00741D46"/>
    <w:rsid w:val="00754061"/>
    <w:rsid w:val="007C24F0"/>
    <w:rsid w:val="007E6683"/>
    <w:rsid w:val="008148F2"/>
    <w:rsid w:val="00820C02"/>
    <w:rsid w:val="00830DEE"/>
    <w:rsid w:val="0083354B"/>
    <w:rsid w:val="008456FA"/>
    <w:rsid w:val="00874AD6"/>
    <w:rsid w:val="00891330"/>
    <w:rsid w:val="008A0E31"/>
    <w:rsid w:val="008A23A5"/>
    <w:rsid w:val="008B53BE"/>
    <w:rsid w:val="008B565E"/>
    <w:rsid w:val="008F4703"/>
    <w:rsid w:val="009300D4"/>
    <w:rsid w:val="00943512"/>
    <w:rsid w:val="009479E3"/>
    <w:rsid w:val="009A2601"/>
    <w:rsid w:val="009B3475"/>
    <w:rsid w:val="009B71FB"/>
    <w:rsid w:val="00A07418"/>
    <w:rsid w:val="00A22CB6"/>
    <w:rsid w:val="00A51ECB"/>
    <w:rsid w:val="00A9045F"/>
    <w:rsid w:val="00A93EEC"/>
    <w:rsid w:val="00AB1BBA"/>
    <w:rsid w:val="00AB77DD"/>
    <w:rsid w:val="00AE2ED5"/>
    <w:rsid w:val="00AE3B62"/>
    <w:rsid w:val="00B17B91"/>
    <w:rsid w:val="00B34D3A"/>
    <w:rsid w:val="00BA2E95"/>
    <w:rsid w:val="00BC0AB3"/>
    <w:rsid w:val="00BC24A0"/>
    <w:rsid w:val="00C00BD8"/>
    <w:rsid w:val="00C237F5"/>
    <w:rsid w:val="00C26E82"/>
    <w:rsid w:val="00C60191"/>
    <w:rsid w:val="00C8414C"/>
    <w:rsid w:val="00CC6509"/>
    <w:rsid w:val="00CD296C"/>
    <w:rsid w:val="00CD4BDF"/>
    <w:rsid w:val="00D150AC"/>
    <w:rsid w:val="00D7346F"/>
    <w:rsid w:val="00D77796"/>
    <w:rsid w:val="00D83327"/>
    <w:rsid w:val="00D837ED"/>
    <w:rsid w:val="00D84BB2"/>
    <w:rsid w:val="00D964FD"/>
    <w:rsid w:val="00DD42FA"/>
    <w:rsid w:val="00DE6A49"/>
    <w:rsid w:val="00E46B84"/>
    <w:rsid w:val="00E73BDA"/>
    <w:rsid w:val="00E91D96"/>
    <w:rsid w:val="00EB3B1E"/>
    <w:rsid w:val="00F1500C"/>
    <w:rsid w:val="00F24E38"/>
    <w:rsid w:val="00FB074A"/>
    <w:rsid w:val="00FC014F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D6F9"/>
  <w15:chartTrackingRefBased/>
  <w15:docId w15:val="{05F9E94D-2289-4379-9AC8-ABEFDC08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7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237F5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C237F5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Сноска"/>
    <w:basedOn w:val="a"/>
    <w:next w:val="a"/>
    <w:uiPriority w:val="99"/>
    <w:rsid w:val="00C237F5"/>
    <w:rPr>
      <w:sz w:val="16"/>
      <w:szCs w:val="16"/>
    </w:rPr>
  </w:style>
  <w:style w:type="paragraph" w:customStyle="1" w:styleId="a5">
    <w:name w:val="Центрированный (таблица)"/>
    <w:basedOn w:val="a3"/>
    <w:next w:val="a"/>
    <w:uiPriority w:val="99"/>
    <w:rsid w:val="00C237F5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74A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4AD6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B53BE"/>
  </w:style>
  <w:style w:type="character" w:customStyle="1" w:styleId="a9">
    <w:name w:val="Текст сноски Знак"/>
    <w:basedOn w:val="a0"/>
    <w:link w:val="a8"/>
    <w:uiPriority w:val="99"/>
    <w:semiHidden/>
    <w:rsid w:val="008B53BE"/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B5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D15D-24FD-4C68-8D6D-01C06294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 Алтуфьево</cp:lastModifiedBy>
  <cp:revision>11</cp:revision>
  <cp:lastPrinted>2025-12-08T12:50:00Z</cp:lastPrinted>
  <dcterms:created xsi:type="dcterms:W3CDTF">2025-12-08T08:48:00Z</dcterms:created>
  <dcterms:modified xsi:type="dcterms:W3CDTF">2025-12-18T12:57:00Z</dcterms:modified>
</cp:coreProperties>
</file>