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63" w:rsidRPr="006B5CBA" w:rsidRDefault="00194C63" w:rsidP="00C237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распоряжению администрации МО </w:t>
      </w:r>
      <w:r w:rsidRPr="002F3E4C">
        <w:rPr>
          <w:rFonts w:ascii="Times New Roman" w:hAnsi="Times New Roman" w:cs="Times New Roman"/>
        </w:rPr>
        <w:t xml:space="preserve">Алтуфьевский от </w:t>
      </w:r>
      <w:r w:rsidR="002F3E4C" w:rsidRPr="002F3E4C">
        <w:rPr>
          <w:rFonts w:ascii="Times New Roman" w:hAnsi="Times New Roman" w:cs="Times New Roman"/>
        </w:rPr>
        <w:t>14</w:t>
      </w:r>
      <w:r w:rsidRPr="002F3E4C">
        <w:rPr>
          <w:rFonts w:ascii="Times New Roman" w:hAnsi="Times New Roman" w:cs="Times New Roman"/>
        </w:rPr>
        <w:t>.</w:t>
      </w:r>
      <w:r w:rsidR="002F3E4C" w:rsidRPr="002F3E4C">
        <w:rPr>
          <w:rFonts w:ascii="Times New Roman" w:hAnsi="Times New Roman" w:cs="Times New Roman"/>
        </w:rPr>
        <w:t>05</w:t>
      </w:r>
      <w:r w:rsidRPr="002F3E4C">
        <w:rPr>
          <w:rFonts w:ascii="Times New Roman" w:hAnsi="Times New Roman" w:cs="Times New Roman"/>
        </w:rPr>
        <w:t>.20</w:t>
      </w:r>
      <w:r w:rsidR="009B71FB" w:rsidRPr="002F3E4C">
        <w:rPr>
          <w:rFonts w:ascii="Times New Roman" w:hAnsi="Times New Roman" w:cs="Times New Roman"/>
        </w:rPr>
        <w:t>2</w:t>
      </w:r>
      <w:r w:rsidR="002F3E4C" w:rsidRPr="002F3E4C">
        <w:rPr>
          <w:rFonts w:ascii="Times New Roman" w:hAnsi="Times New Roman" w:cs="Times New Roman"/>
        </w:rPr>
        <w:t>4</w:t>
      </w:r>
      <w:r w:rsidRPr="002F3E4C">
        <w:rPr>
          <w:rFonts w:ascii="Times New Roman" w:hAnsi="Times New Roman" w:cs="Times New Roman"/>
        </w:rPr>
        <w:t xml:space="preserve"> г. № 02-01-0</w:t>
      </w:r>
      <w:r w:rsidR="0011410D" w:rsidRPr="002F3E4C">
        <w:rPr>
          <w:rFonts w:ascii="Times New Roman" w:hAnsi="Times New Roman" w:cs="Times New Roman"/>
        </w:rPr>
        <w:t>4</w:t>
      </w:r>
      <w:r w:rsidRPr="002F3E4C">
        <w:rPr>
          <w:rFonts w:ascii="Times New Roman" w:hAnsi="Times New Roman" w:cs="Times New Roman"/>
        </w:rPr>
        <w:t>/</w:t>
      </w:r>
      <w:r w:rsidR="002F3E4C" w:rsidRPr="002F3E4C">
        <w:rPr>
          <w:rFonts w:ascii="Times New Roman" w:hAnsi="Times New Roman" w:cs="Times New Roman"/>
        </w:rPr>
        <w:t>11</w:t>
      </w:r>
    </w:p>
    <w:p w:rsidR="00C237F5" w:rsidRPr="00194C63" w:rsidRDefault="00C237F5" w:rsidP="00C237F5">
      <w:pPr>
        <w:jc w:val="right"/>
        <w:rPr>
          <w:rFonts w:ascii="Times New Roman" w:hAnsi="Times New Roman" w:cs="Times New Roman"/>
          <w:sz w:val="16"/>
          <w:szCs w:val="16"/>
        </w:rPr>
      </w:pPr>
      <w:r w:rsidRPr="006B5CBA">
        <w:rPr>
          <w:rFonts w:ascii="Times New Roman" w:hAnsi="Times New Roman" w:cs="Times New Roman"/>
          <w:sz w:val="16"/>
          <w:szCs w:val="16"/>
        </w:rPr>
        <w:t>Приложение</w:t>
      </w:r>
      <w:r w:rsidRPr="00194C63">
        <w:rPr>
          <w:rFonts w:ascii="Times New Roman" w:hAnsi="Times New Roman" w:cs="Times New Roman"/>
          <w:sz w:val="16"/>
          <w:szCs w:val="16"/>
        </w:rPr>
        <w:br/>
        <w:t xml:space="preserve">к Положению о порядке </w:t>
      </w:r>
      <w:proofErr w:type="gramStart"/>
      <w:r w:rsidRPr="00194C63">
        <w:rPr>
          <w:rFonts w:ascii="Times New Roman" w:hAnsi="Times New Roman" w:cs="Times New Roman"/>
          <w:sz w:val="16"/>
          <w:szCs w:val="16"/>
        </w:rPr>
        <w:t>формирования,</w:t>
      </w:r>
      <w:r w:rsidRPr="00194C63">
        <w:rPr>
          <w:rFonts w:ascii="Times New Roman" w:hAnsi="Times New Roman" w:cs="Times New Roman"/>
          <w:sz w:val="16"/>
          <w:szCs w:val="16"/>
        </w:rPr>
        <w:br/>
        <w:t>утверждения</w:t>
      </w:r>
      <w:proofErr w:type="gramEnd"/>
      <w:r w:rsidRPr="00194C63">
        <w:rPr>
          <w:rFonts w:ascii="Times New Roman" w:hAnsi="Times New Roman" w:cs="Times New Roman"/>
          <w:sz w:val="16"/>
          <w:szCs w:val="16"/>
        </w:rPr>
        <w:t xml:space="preserve"> планов-графиков закупок, внесения</w:t>
      </w:r>
      <w:r w:rsidRPr="00194C63">
        <w:rPr>
          <w:rFonts w:ascii="Times New Roman" w:hAnsi="Times New Roman" w:cs="Times New Roman"/>
          <w:sz w:val="16"/>
          <w:szCs w:val="16"/>
        </w:rPr>
        <w:br/>
        <w:t>изменений в такие планы-графики, размещения</w:t>
      </w:r>
      <w:r w:rsidRPr="00194C63">
        <w:rPr>
          <w:rFonts w:ascii="Times New Roman" w:hAnsi="Times New Roman" w:cs="Times New Roman"/>
          <w:sz w:val="16"/>
          <w:szCs w:val="16"/>
        </w:rPr>
        <w:br/>
      </w:r>
      <w:bookmarkStart w:id="0" w:name="_GoBack"/>
      <w:bookmarkEnd w:id="0"/>
      <w:r w:rsidRPr="00194C63">
        <w:rPr>
          <w:rFonts w:ascii="Times New Roman" w:hAnsi="Times New Roman" w:cs="Times New Roman"/>
          <w:sz w:val="16"/>
          <w:szCs w:val="16"/>
        </w:rPr>
        <w:t>планов-графиков закупок в единой</w:t>
      </w:r>
      <w:r w:rsidRPr="00194C63">
        <w:rPr>
          <w:rFonts w:ascii="Times New Roman" w:hAnsi="Times New Roman" w:cs="Times New Roman"/>
          <w:sz w:val="16"/>
          <w:szCs w:val="16"/>
        </w:rPr>
        <w:br/>
        <w:t>информационной системе в сфере закупок,</w:t>
      </w:r>
      <w:r w:rsidRPr="00194C63">
        <w:rPr>
          <w:rFonts w:ascii="Times New Roman" w:hAnsi="Times New Roman" w:cs="Times New Roman"/>
          <w:sz w:val="16"/>
          <w:szCs w:val="16"/>
        </w:rPr>
        <w:br/>
        <w:t>об особенностях включения информации в такие</w:t>
      </w:r>
      <w:r w:rsidRPr="00194C63">
        <w:rPr>
          <w:rFonts w:ascii="Times New Roman" w:hAnsi="Times New Roman" w:cs="Times New Roman"/>
          <w:sz w:val="16"/>
          <w:szCs w:val="16"/>
        </w:rPr>
        <w:br/>
        <w:t>планы-графики и о требованиях к форме планов-</w:t>
      </w:r>
      <w:r w:rsidRPr="00194C63">
        <w:rPr>
          <w:rFonts w:ascii="Times New Roman" w:hAnsi="Times New Roman" w:cs="Times New Roman"/>
          <w:sz w:val="16"/>
          <w:szCs w:val="16"/>
        </w:rPr>
        <w:br/>
        <w:t>графиков закупок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jc w:val="right"/>
        <w:rPr>
          <w:rFonts w:ascii="Times New Roman" w:hAnsi="Times New Roman" w:cs="Times New Roman"/>
        </w:rPr>
      </w:pPr>
    </w:p>
    <w:p w:rsidR="00C237F5" w:rsidRPr="00CB4742" w:rsidRDefault="00C237F5" w:rsidP="00C237F5">
      <w:pPr>
        <w:jc w:val="center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ПЛАН-ГРАФИК</w:t>
      </w:r>
      <w:r w:rsidRPr="00CB4742">
        <w:rPr>
          <w:rFonts w:ascii="Times New Roman" w:hAnsi="Times New Roman" w:cs="Times New Roman"/>
        </w:rPr>
        <w:br/>
        <w:t>закупок товаров, работ, услуг на 20</w:t>
      </w:r>
      <w:r w:rsidR="008148F2">
        <w:rPr>
          <w:rFonts w:ascii="Times New Roman" w:hAnsi="Times New Roman" w:cs="Times New Roman"/>
        </w:rPr>
        <w:t>2</w:t>
      </w:r>
      <w:r w:rsidR="00A9045F">
        <w:rPr>
          <w:rFonts w:ascii="Times New Roman" w:hAnsi="Times New Roman" w:cs="Times New Roman"/>
        </w:rPr>
        <w:t>4</w:t>
      </w:r>
      <w:r w:rsidRPr="00CB4742">
        <w:rPr>
          <w:rFonts w:ascii="Times New Roman" w:hAnsi="Times New Roman" w:cs="Times New Roman"/>
        </w:rPr>
        <w:t xml:space="preserve"> финансовый год и на плановый период 20</w:t>
      </w:r>
      <w:r w:rsidR="00874AD6">
        <w:rPr>
          <w:rFonts w:ascii="Times New Roman" w:hAnsi="Times New Roman" w:cs="Times New Roman"/>
        </w:rPr>
        <w:t>2</w:t>
      </w:r>
      <w:r w:rsidR="00A9045F">
        <w:rPr>
          <w:rFonts w:ascii="Times New Roman" w:hAnsi="Times New Roman" w:cs="Times New Roman"/>
        </w:rPr>
        <w:t>5</w:t>
      </w:r>
      <w:r w:rsidRPr="00CB4742">
        <w:rPr>
          <w:rFonts w:ascii="Times New Roman" w:hAnsi="Times New Roman" w:cs="Times New Roman"/>
        </w:rPr>
        <w:t xml:space="preserve"> и 20</w:t>
      </w:r>
      <w:r w:rsidR="00874AD6">
        <w:rPr>
          <w:rFonts w:ascii="Times New Roman" w:hAnsi="Times New Roman" w:cs="Times New Roman"/>
        </w:rPr>
        <w:t>2</w:t>
      </w:r>
      <w:r w:rsidR="00A9045F">
        <w:rPr>
          <w:rFonts w:ascii="Times New Roman" w:hAnsi="Times New Roman" w:cs="Times New Roman"/>
        </w:rPr>
        <w:t>6</w:t>
      </w:r>
      <w:r w:rsidRPr="00CB4742">
        <w:rPr>
          <w:rFonts w:ascii="Times New Roman" w:hAnsi="Times New Roman" w:cs="Times New Roman"/>
        </w:rPr>
        <w:t xml:space="preserve"> годов</w:t>
      </w:r>
    </w:p>
    <w:p w:rsidR="00C237F5" w:rsidRPr="00CB4742" w:rsidRDefault="00C237F5" w:rsidP="00C237F5">
      <w:pPr>
        <w:jc w:val="center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CB4742">
        <w:rPr>
          <w:rFonts w:ascii="Times New Roman" w:hAnsi="Times New Roman" w:cs="Times New Roman"/>
          <w:vertAlign w:val="superscript"/>
        </w:rPr>
        <w:t>1</w:t>
      </w:r>
      <w:r w:rsidRPr="00CB4742">
        <w:rPr>
          <w:rFonts w:ascii="Times New Roman" w:hAnsi="Times New Roman" w:cs="Times New Roman"/>
        </w:rPr>
        <w:t>)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1. Информация о заказчике: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4212"/>
        <w:gridCol w:w="2311"/>
        <w:gridCol w:w="1496"/>
      </w:tblGrid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Коды</w:t>
            </w:r>
          </w:p>
        </w:tc>
      </w:tr>
      <w:tr w:rsidR="00C237F5" w:rsidRPr="00CB4742" w:rsidTr="00647538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7715048331</w:t>
            </w:r>
          </w:p>
        </w:tc>
      </w:tr>
      <w:tr w:rsidR="00C237F5" w:rsidRPr="00CB4742" w:rsidTr="00647538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Алтуфьевский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771501001</w:t>
            </w: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874AD6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75404</w:t>
            </w: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874AD6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3D4A4B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127549, г. Москва, Алтуфьевское ш., д. 56А 8(499)901-26-85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altuf</w:t>
            </w:r>
            <w:proofErr w:type="spellEnd"/>
            <w:r w:rsidRPr="003D4A4B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mun</w:t>
            </w:r>
            <w:proofErr w:type="spellEnd"/>
            <w:r w:rsidRPr="003D4A4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D4A4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37F5" w:rsidRPr="00CB4742" w:rsidRDefault="00874AD6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45350000000</w:t>
            </w:r>
          </w:p>
        </w:tc>
      </w:tr>
      <w:tr w:rsidR="00C237F5" w:rsidRPr="00CB4742" w:rsidTr="00647538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383</w:t>
            </w:r>
          </w:p>
        </w:tc>
      </w:tr>
    </w:tbl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2. Информация о закупках товаров, работ, услуг на 20</w:t>
      </w:r>
      <w:r w:rsidR="003D4A4B">
        <w:rPr>
          <w:rFonts w:ascii="Times New Roman" w:hAnsi="Times New Roman" w:cs="Times New Roman"/>
        </w:rPr>
        <w:t>2</w:t>
      </w:r>
      <w:r w:rsidR="00A9045F">
        <w:rPr>
          <w:rFonts w:ascii="Times New Roman" w:hAnsi="Times New Roman" w:cs="Times New Roman"/>
        </w:rPr>
        <w:t>4</w:t>
      </w:r>
      <w:r w:rsidRPr="00CB4742">
        <w:rPr>
          <w:rFonts w:ascii="Times New Roman" w:hAnsi="Times New Roman" w:cs="Times New Roman"/>
        </w:rPr>
        <w:t xml:space="preserve"> финансовый год и на плановый период 20</w:t>
      </w:r>
      <w:r w:rsidR="003D4A4B">
        <w:rPr>
          <w:rFonts w:ascii="Times New Roman" w:hAnsi="Times New Roman" w:cs="Times New Roman"/>
        </w:rPr>
        <w:t>2</w:t>
      </w:r>
      <w:r w:rsidR="00A9045F">
        <w:rPr>
          <w:rFonts w:ascii="Times New Roman" w:hAnsi="Times New Roman" w:cs="Times New Roman"/>
        </w:rPr>
        <w:t>5</w:t>
      </w:r>
      <w:r w:rsidRPr="00CB4742">
        <w:rPr>
          <w:rFonts w:ascii="Times New Roman" w:hAnsi="Times New Roman" w:cs="Times New Roman"/>
        </w:rPr>
        <w:t xml:space="preserve"> и 20</w:t>
      </w:r>
      <w:r w:rsidR="003D4A4B">
        <w:rPr>
          <w:rFonts w:ascii="Times New Roman" w:hAnsi="Times New Roman" w:cs="Times New Roman"/>
        </w:rPr>
        <w:t>2</w:t>
      </w:r>
      <w:r w:rsidR="00A9045F">
        <w:rPr>
          <w:rFonts w:ascii="Times New Roman" w:hAnsi="Times New Roman" w:cs="Times New Roman"/>
        </w:rPr>
        <w:t>6</w:t>
      </w:r>
      <w:r w:rsidRPr="00CB4742">
        <w:rPr>
          <w:rFonts w:ascii="Times New Roman" w:hAnsi="Times New Roman" w:cs="Times New Roman"/>
        </w:rPr>
        <w:t xml:space="preserve"> годов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32"/>
        <w:gridCol w:w="709"/>
        <w:gridCol w:w="1262"/>
        <w:gridCol w:w="1002"/>
        <w:gridCol w:w="2037"/>
        <w:gridCol w:w="578"/>
        <w:gridCol w:w="974"/>
        <w:gridCol w:w="814"/>
        <w:gridCol w:w="815"/>
        <w:gridCol w:w="733"/>
        <w:gridCol w:w="1455"/>
        <w:gridCol w:w="1344"/>
        <w:gridCol w:w="1767"/>
      </w:tblGrid>
      <w:tr w:rsidR="00C237F5" w:rsidRPr="00CB4742" w:rsidTr="00647538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N</w:t>
            </w:r>
          </w:p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</w:t>
            </w:r>
            <w:r w:rsidRPr="00CB4742">
              <w:rPr>
                <w:rFonts w:ascii="Times New Roman" w:hAnsi="Times New Roman" w:cs="Times New Roman"/>
              </w:rPr>
              <w:lastRenderedPageBreak/>
              <w:t>заключения контракта с единственным поставщиком (подрядчиком, исполнителем)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уполномоченного органа (учреждения)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организатора проведения совместного конкурса или аукциона</w:t>
            </w:r>
          </w:p>
        </w:tc>
      </w:tr>
      <w:tr w:rsidR="00C237F5" w:rsidRPr="00CB4742" w:rsidTr="00647538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</w:t>
            </w:r>
            <w:r w:rsidRPr="00CB4742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 xml:space="preserve">на </w:t>
            </w:r>
            <w:r w:rsidRPr="00CB4742">
              <w:rPr>
                <w:rFonts w:ascii="Times New Roman" w:hAnsi="Times New Roman" w:cs="Times New Roman"/>
              </w:rPr>
              <w:lastRenderedPageBreak/>
              <w:t>первый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lastRenderedPageBreak/>
              <w:t xml:space="preserve">на </w:t>
            </w:r>
            <w:r w:rsidRPr="00CB4742">
              <w:rPr>
                <w:rFonts w:ascii="Times New Roman" w:hAnsi="Times New Roman" w:cs="Times New Roman"/>
              </w:rPr>
              <w:lastRenderedPageBreak/>
              <w:t>второй год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14</w:t>
            </w:r>
          </w:p>
        </w:tc>
      </w:tr>
      <w:tr w:rsidR="00331B47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Default="00DD42FA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F1500C" w:rsidRDefault="00704418" w:rsidP="00A9045F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202401733000022001000001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>93.29.29.000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331B47" w:rsidP="00331B47">
            <w:pPr>
              <w:snapToGrid w:val="0"/>
              <w:ind w:firstLine="698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>Услуги объединений, создаваемых с целью проведения культурных и развлекательных мероприятий и организации досуга, кроме спорта или игр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331B47" w:rsidP="00704418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проведению местных праздничных мероприятий</w:t>
            </w:r>
            <w:r w:rsidR="007044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4418" w:rsidRPr="00874AD6">
              <w:rPr>
                <w:rFonts w:ascii="Times New Roman" w:hAnsi="Times New Roman" w:cs="Times New Roman"/>
                <w:sz w:val="18"/>
                <w:szCs w:val="18"/>
              </w:rPr>
              <w:t>для жителей муниципального округа Алтуфьевский</w:t>
            </w:r>
            <w:r w:rsidR="00704418">
              <w:rPr>
                <w:rFonts w:ascii="Times New Roman" w:hAnsi="Times New Roman" w:cs="Times New Roman"/>
                <w:sz w:val="18"/>
                <w:szCs w:val="18"/>
              </w:rPr>
              <w:t xml:space="preserve"> и мероприятий, направленных на военно-патриотическое воспитание молодежи</w:t>
            </w: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A9045F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A9045F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3120100,00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A9045F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1357300,00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A9045F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1173400,00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A9045F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589400,00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B47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Default="00DD42FA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1D4016" w:rsidRDefault="003F0FEE" w:rsidP="0032302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202401733000022001000002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F0FEE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AD6">
              <w:rPr>
                <w:rFonts w:ascii="Times New Roman" w:hAnsi="Times New Roman"/>
                <w:sz w:val="18"/>
                <w:szCs w:val="18"/>
              </w:rPr>
              <w:t>62.09.20.190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F0FEE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FEE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адаптации и сопровождению экземпляров Систем </w:t>
            </w:r>
            <w:proofErr w:type="spellStart"/>
            <w:r w:rsidRPr="003F0FEE">
              <w:rPr>
                <w:rFonts w:ascii="Times New Roman" w:hAnsi="Times New Roman" w:cs="Times New Roman"/>
                <w:sz w:val="18"/>
                <w:szCs w:val="18"/>
              </w:rPr>
              <w:t>КонсультантПлюс</w:t>
            </w:r>
            <w:proofErr w:type="spellEnd"/>
            <w:r w:rsidRPr="003F0FEE">
              <w:rPr>
                <w:rFonts w:ascii="Times New Roman" w:hAnsi="Times New Roman" w:cs="Times New Roman"/>
                <w:sz w:val="18"/>
                <w:szCs w:val="18"/>
              </w:rPr>
              <w:t>, оказываемые на основе специального лицензионного сервисног</w:t>
            </w:r>
            <w:r w:rsidRPr="003F0F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программного обеспечения, обеспечивающего совместимость (взаимодействие) услуг с ранее установленными у заказчика экземплярами Систем </w:t>
            </w:r>
            <w:proofErr w:type="spellStart"/>
            <w:r w:rsidRPr="003F0FEE">
              <w:rPr>
                <w:rFonts w:ascii="Times New Roman" w:hAnsi="Times New Roman" w:cs="Times New Roman"/>
                <w:sz w:val="18"/>
                <w:szCs w:val="18"/>
              </w:rPr>
              <w:t>КонсультантПлюс</w:t>
            </w:r>
            <w:proofErr w:type="spellEnd"/>
            <w:r w:rsidRPr="003F0FEE">
              <w:rPr>
                <w:rFonts w:ascii="Times New Roman" w:hAnsi="Times New Roman" w:cs="Times New Roman"/>
                <w:sz w:val="18"/>
                <w:szCs w:val="18"/>
              </w:rPr>
              <w:t xml:space="preserve"> (в том числе специальной копией Системы </w:t>
            </w:r>
            <w:proofErr w:type="spellStart"/>
            <w:r w:rsidRPr="003F0FEE">
              <w:rPr>
                <w:rFonts w:ascii="Times New Roman" w:hAnsi="Times New Roman" w:cs="Times New Roman"/>
                <w:sz w:val="18"/>
                <w:szCs w:val="18"/>
              </w:rPr>
              <w:t>КонсультантПлюс</w:t>
            </w:r>
            <w:proofErr w:type="spellEnd"/>
            <w:r w:rsidRPr="003F0FE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F0FEE" w:rsidP="00A0741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F0FEE" w:rsidP="00E91D96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31B47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Default="00FC014F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30DEE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AD6">
              <w:rPr>
                <w:rFonts w:ascii="Times New Roman" w:hAnsi="Times New Roman"/>
                <w:sz w:val="18"/>
                <w:szCs w:val="18"/>
              </w:rPr>
              <w:t>49.31.22.000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AD6">
              <w:rPr>
                <w:rFonts w:ascii="Times New Roman" w:hAnsi="Times New Roman"/>
                <w:sz w:val="18"/>
                <w:szCs w:val="18"/>
              </w:rPr>
              <w:t>Услуги по регулярным перевозкам пассажиров, используя более чем 1 вид транспорта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>Обеспечение бесплатного проезда депутатов Совета депутатов МО Алтуфьевский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F32B9" w:rsidP="00A0741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904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6473D0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7E6683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7E6683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195000,00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7E6683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195000,00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43D1D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3D1D" w:rsidRDefault="00F43D1D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D1D" w:rsidRPr="002F3E4C" w:rsidRDefault="002F3E4C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3E4C">
              <w:rPr>
                <w:rFonts w:ascii="Times New Roman" w:hAnsi="Times New Roman"/>
                <w:sz w:val="18"/>
                <w:szCs w:val="18"/>
              </w:rPr>
              <w:t>243771504833177150100100050010000244,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D1D" w:rsidRPr="00874AD6" w:rsidRDefault="002F3E4C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F3E4C">
              <w:rPr>
                <w:rFonts w:ascii="Times New Roman" w:eastAsia="Times New Roman" w:hAnsi="Times New Roman" w:cs="Times New Roman"/>
                <w:sz w:val="18"/>
                <w:szCs w:val="18"/>
              </w:rPr>
              <w:t>26.20.11.110-00000165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D1D" w:rsidRPr="00874AD6" w:rsidRDefault="002F3E4C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ноутбука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D1D" w:rsidRPr="00874AD6" w:rsidRDefault="00F43D1D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ноутбука для нужд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администарции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D1D" w:rsidRDefault="00F43D1D" w:rsidP="00A0741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D1D" w:rsidRDefault="002F3E4C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D1D" w:rsidRDefault="002F3E4C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D1D" w:rsidRDefault="00F43D1D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D1D" w:rsidRDefault="00F43D1D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D1D" w:rsidRDefault="00F43D1D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D1D" w:rsidRPr="00D7346F" w:rsidRDefault="00F43D1D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D1D" w:rsidRPr="00D7346F" w:rsidRDefault="00F43D1D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D1D" w:rsidRPr="00D7346F" w:rsidRDefault="00F43D1D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B47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Default="00F43D1D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AE2ED5" w:rsidRDefault="00331B47" w:rsidP="00AE2ED5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Закупки на основании п. 4 ч. 1 ст. 93 44-ФЗ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F32B9" w:rsidP="00B34D3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20C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E73BDA" w:rsidP="002F3E4C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F3E4C">
              <w:rPr>
                <w:rFonts w:ascii="Times New Roman" w:hAnsi="Times New Roman" w:cs="Times New Roman"/>
                <w:sz w:val="16"/>
                <w:szCs w:val="16"/>
              </w:rPr>
              <w:t>391100,000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E73BDA" w:rsidP="006F47BB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1801000,00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820C02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1182900,00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820C02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1182900,00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31B47" w:rsidRPr="00CB4742" w:rsidTr="00647538">
        <w:tc>
          <w:tcPr>
            <w:tcW w:w="72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Pr="00CB4742" w:rsidRDefault="00331B47" w:rsidP="00331B47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lastRenderedPageBreak/>
              <w:t>Всего для осуществления закупок,</w:t>
            </w:r>
          </w:p>
          <w:p w:rsidR="00331B47" w:rsidRPr="00CB4742" w:rsidRDefault="00331B47" w:rsidP="00331B47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 xml:space="preserve">в том числе по коду бюджетной классификации </w:t>
            </w:r>
            <w:r>
              <w:rPr>
                <w:rFonts w:ascii="Times New Roman" w:hAnsi="Times New Roman" w:cs="Times New Roman"/>
              </w:rPr>
              <w:t>900 0104 31Б0100100 244, 900 0104 31Б0100500 244, 900 0103 31А0100200 244</w:t>
            </w:r>
            <w:r w:rsidR="003C03A0">
              <w:rPr>
                <w:rFonts w:ascii="Times New Roman" w:hAnsi="Times New Roman" w:cs="Times New Roman"/>
              </w:rPr>
              <w:t xml:space="preserve">, </w:t>
            </w:r>
            <w:r w:rsidR="00205112">
              <w:rPr>
                <w:rFonts w:ascii="Times New Roman" w:hAnsi="Times New Roman" w:cs="Times New Roman"/>
              </w:rPr>
              <w:t>0113 31Б0100400 853, 1202 35Е0100300 853, 1204 35Е0100300 244, 0705 31Б0100500 244, 0705 31Б0100100 244</w:t>
            </w:r>
            <w:r w:rsidRPr="00CB4742">
              <w:rPr>
                <w:rFonts w:ascii="Times New Roman" w:hAnsi="Times New Roman" w:cs="Times New Roman"/>
              </w:rPr>
              <w:t xml:space="preserve"> /</w:t>
            </w:r>
          </w:p>
          <w:p w:rsidR="00331B47" w:rsidRPr="00CB4742" w:rsidRDefault="00331B47" w:rsidP="00331B47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соглашению от _______ N _____ / по коду вида расходов ____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CB4742" w:rsidRDefault="00331B47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194C63" w:rsidRDefault="00331B47" w:rsidP="006F47BB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194C63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194C63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pStyle w:val="OEM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C237F5" w:rsidRPr="00CB4742" w:rsidRDefault="00C237F5" w:rsidP="00C237F5">
      <w:pPr>
        <w:pStyle w:val="a4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1</w:t>
      </w:r>
      <w:r w:rsidRPr="00CB4742"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C237F5" w:rsidRPr="00CB4742" w:rsidRDefault="00C237F5" w:rsidP="00C237F5">
      <w:pPr>
        <w:pStyle w:val="a4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2</w:t>
      </w:r>
      <w:r w:rsidRPr="00CB4742"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D150AC" w:rsidRDefault="00D150AC"/>
    <w:sectPr w:rsidR="00D150AC" w:rsidSect="00CB4742">
      <w:pgSz w:w="16838" w:h="11906" w:orient="landscape"/>
      <w:pgMar w:top="426" w:right="850" w:bottom="568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F5"/>
    <w:rsid w:val="00061EBB"/>
    <w:rsid w:val="00101A59"/>
    <w:rsid w:val="0011410D"/>
    <w:rsid w:val="00194C63"/>
    <w:rsid w:val="001A1F99"/>
    <w:rsid w:val="001C57C6"/>
    <w:rsid w:val="001D4016"/>
    <w:rsid w:val="00205112"/>
    <w:rsid w:val="002E18B8"/>
    <w:rsid w:val="002F3E4C"/>
    <w:rsid w:val="00323029"/>
    <w:rsid w:val="00331B47"/>
    <w:rsid w:val="00397C61"/>
    <w:rsid w:val="003B4512"/>
    <w:rsid w:val="003C03A0"/>
    <w:rsid w:val="003D38A7"/>
    <w:rsid w:val="003D4A4B"/>
    <w:rsid w:val="003E02D0"/>
    <w:rsid w:val="003E45E2"/>
    <w:rsid w:val="003F0FEE"/>
    <w:rsid w:val="003F32B9"/>
    <w:rsid w:val="004442A5"/>
    <w:rsid w:val="00494170"/>
    <w:rsid w:val="005029A2"/>
    <w:rsid w:val="0050416B"/>
    <w:rsid w:val="00515764"/>
    <w:rsid w:val="0054199A"/>
    <w:rsid w:val="00575ABC"/>
    <w:rsid w:val="005A1E4F"/>
    <w:rsid w:val="005C10B8"/>
    <w:rsid w:val="005D7DB1"/>
    <w:rsid w:val="005F4C41"/>
    <w:rsid w:val="005F58DB"/>
    <w:rsid w:val="005F7CD6"/>
    <w:rsid w:val="00647103"/>
    <w:rsid w:val="006473D0"/>
    <w:rsid w:val="006B5CBA"/>
    <w:rsid w:val="006D4731"/>
    <w:rsid w:val="006F47BB"/>
    <w:rsid w:val="00704418"/>
    <w:rsid w:val="007303B2"/>
    <w:rsid w:val="00741D46"/>
    <w:rsid w:val="00754061"/>
    <w:rsid w:val="007C24F0"/>
    <w:rsid w:val="007E6683"/>
    <w:rsid w:val="008148F2"/>
    <w:rsid w:val="00820C02"/>
    <w:rsid w:val="00830DEE"/>
    <w:rsid w:val="0083354B"/>
    <w:rsid w:val="008456FA"/>
    <w:rsid w:val="00874AD6"/>
    <w:rsid w:val="00891330"/>
    <w:rsid w:val="008A0E31"/>
    <w:rsid w:val="008A23A5"/>
    <w:rsid w:val="008B565E"/>
    <w:rsid w:val="009300D4"/>
    <w:rsid w:val="00943512"/>
    <w:rsid w:val="009479E3"/>
    <w:rsid w:val="009A2601"/>
    <w:rsid w:val="009B71FB"/>
    <w:rsid w:val="00A07418"/>
    <w:rsid w:val="00A22CB6"/>
    <w:rsid w:val="00A51ECB"/>
    <w:rsid w:val="00A9045F"/>
    <w:rsid w:val="00A93EEC"/>
    <w:rsid w:val="00AB1BBA"/>
    <w:rsid w:val="00AE2ED5"/>
    <w:rsid w:val="00AE3B62"/>
    <w:rsid w:val="00B34D3A"/>
    <w:rsid w:val="00BA2E95"/>
    <w:rsid w:val="00BC24A0"/>
    <w:rsid w:val="00C00BD8"/>
    <w:rsid w:val="00C237F5"/>
    <w:rsid w:val="00C60191"/>
    <w:rsid w:val="00C8414C"/>
    <w:rsid w:val="00CC6509"/>
    <w:rsid w:val="00CD296C"/>
    <w:rsid w:val="00CD4BDF"/>
    <w:rsid w:val="00D150AC"/>
    <w:rsid w:val="00D7346F"/>
    <w:rsid w:val="00D77796"/>
    <w:rsid w:val="00D837ED"/>
    <w:rsid w:val="00D84BB2"/>
    <w:rsid w:val="00D964FD"/>
    <w:rsid w:val="00DD42FA"/>
    <w:rsid w:val="00DE6A49"/>
    <w:rsid w:val="00E46B84"/>
    <w:rsid w:val="00E73BDA"/>
    <w:rsid w:val="00E91D96"/>
    <w:rsid w:val="00EB3B1E"/>
    <w:rsid w:val="00F1500C"/>
    <w:rsid w:val="00F43D1D"/>
    <w:rsid w:val="00FB074A"/>
    <w:rsid w:val="00FC014F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E94D-2289-4379-9AC8-ABEFDC0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237F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C237F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C237F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C237F5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74A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D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2F3E4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</cp:lastModifiedBy>
  <cp:revision>3</cp:revision>
  <cp:lastPrinted>2023-12-27T12:19:00Z</cp:lastPrinted>
  <dcterms:created xsi:type="dcterms:W3CDTF">2024-05-03T13:19:00Z</dcterms:created>
  <dcterms:modified xsi:type="dcterms:W3CDTF">2024-05-28T13:03:00Z</dcterms:modified>
</cp:coreProperties>
</file>